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BB2B55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BB2B55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E739C6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ΠΕΡΙΦΕΡΕΙΑΚΗ ΔΙΕΥΘΥΝΣΗ ΠΡΩΤΟΒΑΘΜΙΑΣ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 ΚΑΙ ΔΕΥΤΕΡΟΒΑΘΜΙΑΣ 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CF1E19">
              <w:rPr>
                <w:rFonts w:asciiTheme="minorHAnsi" w:hAnsiTheme="minorHAnsi" w:cs="Tahoma"/>
                <w:sz w:val="22"/>
                <w:szCs w:val="22"/>
                <w:lang w:val="el-GR"/>
              </w:rPr>
              <w:t>22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CF1E19">
              <w:rPr>
                <w:rFonts w:asciiTheme="minorHAnsi" w:hAnsiTheme="minorHAnsi" w:cs="Tahoma"/>
                <w:sz w:val="22"/>
                <w:szCs w:val="22"/>
                <w:lang w:val="el-GR"/>
              </w:rPr>
              <w:t>7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4645FF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B71A47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Φ.</w:t>
            </w:r>
            <w:r w:rsidR="00EA73FA">
              <w:rPr>
                <w:rFonts w:asciiTheme="minorHAnsi" w:hAnsiTheme="minorHAnsi" w:cs="Tahoma"/>
                <w:sz w:val="22"/>
                <w:szCs w:val="22"/>
                <w:lang w:val="el-GR"/>
              </w:rPr>
              <w:t>10.3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A73FA">
              <w:rPr>
                <w:rFonts w:asciiTheme="minorHAnsi" w:hAnsiTheme="minorHAnsi" w:cs="Tahoma"/>
                <w:sz w:val="22"/>
                <w:szCs w:val="22"/>
                <w:lang w:val="el-GR"/>
              </w:rPr>
              <w:t>9110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7A2333" w:rsidRPr="007A2333" w:rsidRDefault="00E739C6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E739C6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Σχολικές Μονάδες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αρμοδιότητας Διεύθυνσης </w:t>
            </w:r>
            <w:r w:rsidRPr="00E739C6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Δευτεροβάθμιας Εκπαίδευσης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Pr="00E74706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</w:tc>
      </w:tr>
      <w:tr w:rsidR="0082729F" w:rsidRPr="00982B75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EA73FA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BB2B55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BB2B5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EA73FA">
      <w:pPr>
        <w:ind w:left="1134" w:hanging="1134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815244" w:rsidRPr="00F7173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EA73FA" w:rsidRPr="00EA73FA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Ανακοίνωση </w:t>
      </w:r>
      <w:r w:rsidR="00EA73FA">
        <w:rPr>
          <w:rFonts w:asciiTheme="minorHAnsi" w:hAnsiTheme="minorHAnsi" w:cs="Tahoma"/>
          <w:spacing w:val="26"/>
          <w:sz w:val="22"/>
          <w:szCs w:val="22"/>
          <w:lang w:val="el-GR"/>
        </w:rPr>
        <w:t>Πινάκων Οριστικών και Προσωρινών Τοποθετήσεων – Αναμό</w:t>
      </w:r>
      <w:r w:rsidR="00945485">
        <w:rPr>
          <w:rFonts w:asciiTheme="minorHAnsi" w:hAnsiTheme="minorHAnsi" w:cs="Tahoma"/>
          <w:spacing w:val="26"/>
          <w:sz w:val="22"/>
          <w:szCs w:val="22"/>
          <w:lang w:val="el-GR"/>
        </w:rPr>
        <w:t>ρφω</w:t>
      </w:r>
      <w:r w:rsidR="00EA73FA">
        <w:rPr>
          <w:rFonts w:asciiTheme="minorHAnsi" w:hAnsiTheme="minorHAnsi" w:cs="Tahoma"/>
          <w:spacing w:val="26"/>
          <w:sz w:val="22"/>
          <w:szCs w:val="22"/>
          <w:lang w:val="el-GR"/>
        </w:rPr>
        <w:t>ση</w:t>
      </w:r>
      <w:r w:rsidR="00945485" w:rsidRPr="00945485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πίνακα κενών και πλεονασμάτων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7A2333" w:rsidRDefault="007A2333" w:rsidP="007A2333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739C6" w:rsidRDefault="00945485" w:rsidP="00E739C6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  <w:lang w:val="el-GR"/>
        </w:rPr>
      </w:pPr>
      <w:r w:rsidRPr="00945485">
        <w:rPr>
          <w:rFonts w:ascii="Calibri" w:hAnsi="Calibri" w:cs="Arial"/>
          <w:sz w:val="22"/>
          <w:szCs w:val="22"/>
          <w:lang w:val="el-GR"/>
        </w:rPr>
        <w:t>Σας ανακοινώνουμε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 τους πίνακες</w:t>
      </w:r>
      <w:r w:rsidRPr="00945485">
        <w:rPr>
          <w:rFonts w:ascii="Calibri" w:hAnsi="Calibri" w:cs="Arial"/>
          <w:sz w:val="22"/>
          <w:szCs w:val="22"/>
          <w:lang w:val="el-GR"/>
        </w:rPr>
        <w:t xml:space="preserve"> 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με τις Οριστικές και Προσωρινές Τοποθετήσεις καθώς και </w:t>
      </w:r>
      <w:r w:rsidR="00EA73FA" w:rsidRPr="00945485">
        <w:rPr>
          <w:rFonts w:ascii="Calibri" w:hAnsi="Calibri" w:cs="Arial"/>
          <w:sz w:val="22"/>
          <w:szCs w:val="22"/>
          <w:lang w:val="el-GR"/>
        </w:rPr>
        <w:t xml:space="preserve">τον </w:t>
      </w:r>
      <w:r w:rsidR="00EA73FA">
        <w:rPr>
          <w:rFonts w:ascii="Calibri" w:hAnsi="Calibri" w:cs="Arial"/>
          <w:sz w:val="22"/>
          <w:szCs w:val="22"/>
          <w:lang w:val="el-GR"/>
        </w:rPr>
        <w:t>αναμορφωμένο</w:t>
      </w:r>
      <w:r w:rsidR="00EA73FA" w:rsidRPr="00945485">
        <w:rPr>
          <w:rFonts w:ascii="Calibri" w:hAnsi="Calibri" w:cs="Arial"/>
          <w:sz w:val="22"/>
          <w:szCs w:val="22"/>
          <w:lang w:val="el-GR"/>
        </w:rPr>
        <w:t xml:space="preserve"> πίνακα κενών και πλεονασμάτων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 όπως προέκυψαν από την</w:t>
      </w:r>
      <w:r w:rsidRPr="00945485">
        <w:rPr>
          <w:rFonts w:ascii="Calibri" w:hAnsi="Calibri" w:cs="Arial"/>
          <w:sz w:val="22"/>
          <w:szCs w:val="22"/>
          <w:lang w:val="el-GR"/>
        </w:rPr>
        <w:t xml:space="preserve">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1</w:t>
      </w:r>
      <w:r w:rsidR="0016551D">
        <w:rPr>
          <w:rFonts w:asciiTheme="minorHAnsi" w:hAnsiTheme="minorHAnsi" w:cs="Arial"/>
          <w:sz w:val="22"/>
          <w:szCs w:val="22"/>
          <w:lang w:val="el-GR"/>
        </w:rPr>
        <w:t>6η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/</w:t>
      </w:r>
      <w:r w:rsidR="0016551D">
        <w:rPr>
          <w:rFonts w:asciiTheme="minorHAnsi" w:hAnsiTheme="minorHAnsi" w:cs="Arial"/>
          <w:sz w:val="22"/>
          <w:szCs w:val="22"/>
          <w:lang w:val="el-GR"/>
        </w:rPr>
        <w:t xml:space="preserve">22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 w:rsidR="0016551D">
        <w:rPr>
          <w:rFonts w:asciiTheme="minorHAnsi" w:hAnsiTheme="minorHAnsi" w:cs="Arial"/>
          <w:sz w:val="22"/>
          <w:szCs w:val="22"/>
          <w:lang w:val="el-GR"/>
        </w:rPr>
        <w:t xml:space="preserve"> 7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-201</w:t>
      </w:r>
      <w:r w:rsidR="0016551D">
        <w:rPr>
          <w:rFonts w:asciiTheme="minorHAnsi" w:hAnsiTheme="minorHAnsi" w:cs="Arial"/>
          <w:sz w:val="22"/>
          <w:szCs w:val="22"/>
          <w:lang w:val="el-GR"/>
        </w:rPr>
        <w:t>5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 xml:space="preserve"> Πράξη του ΠΥΣΔΕ Κοζάνης</w:t>
      </w:r>
      <w:r w:rsidRPr="00945485">
        <w:rPr>
          <w:rFonts w:ascii="Calibri" w:hAnsi="Calibri" w:cs="Arial"/>
          <w:sz w:val="22"/>
          <w:szCs w:val="22"/>
          <w:lang w:val="el-GR"/>
        </w:rPr>
        <w:t>.</w:t>
      </w:r>
    </w:p>
    <w:p w:rsidR="00EA73FA" w:rsidRPr="00E739C6" w:rsidRDefault="00EA73FA" w:rsidP="00E739C6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Αιτήσεις επανεξέτασης </w:t>
      </w:r>
      <w:r w:rsidR="00B60345">
        <w:rPr>
          <w:rFonts w:asciiTheme="minorHAnsi" w:hAnsiTheme="minorHAnsi" w:cs="Arial"/>
          <w:sz w:val="22"/>
          <w:szCs w:val="22"/>
          <w:lang w:val="el-GR"/>
        </w:rPr>
        <w:t xml:space="preserve">που αφορούν στη διόρθωση συγκεκριμένων λαθών ή παραλείψεων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επί των τοποθετήσεων μπορούν να υποβληθούν </w:t>
      </w:r>
      <w:r w:rsidR="00B60345">
        <w:rPr>
          <w:rFonts w:asciiTheme="minorHAnsi" w:hAnsiTheme="minorHAnsi" w:cs="Arial"/>
          <w:sz w:val="22"/>
          <w:szCs w:val="22"/>
          <w:lang w:val="el-GR"/>
        </w:rPr>
        <w:t>από σήμερα έως 24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/</w:t>
      </w:r>
      <w:r>
        <w:rPr>
          <w:rFonts w:asciiTheme="minorHAnsi" w:hAnsiTheme="minorHAnsi" w:cs="Arial"/>
          <w:sz w:val="22"/>
          <w:szCs w:val="22"/>
          <w:lang w:val="el-GR"/>
        </w:rPr>
        <w:t>7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/201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και ώρα 14:00</w:t>
      </w:r>
    </w:p>
    <w:p w:rsidR="00EA73FA" w:rsidRDefault="00EA73FA" w:rsidP="00EA73F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>Με το πέρας της διαδικασίας και εφόσον εξακολουθούν να υπάρχουν κενά, οι εκπαιδευτικοί που δεν τοποθετήθηκαν σε σχολεία της προτίμησης τους και βρίσκονται στη διάθεση του ΠΥΣΔΕ, τοποθετούντ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αι σε αυτά σύμφωνα με το </w:t>
      </w:r>
      <w:r w:rsidRPr="001A1F1D">
        <w:rPr>
          <w:rFonts w:asciiTheme="minorHAnsi" w:hAnsiTheme="minorHAnsi" w:cs="Arial"/>
          <w:sz w:val="22"/>
          <w:szCs w:val="22"/>
          <w:lang w:val="el-GR"/>
        </w:rPr>
        <w:t>συμφέρον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της υπηρεσίας (άρθρο 15, παρ.12 του Π.Δ.50/96).</w:t>
      </w:r>
    </w:p>
    <w:p w:rsidR="00EA73FA" w:rsidRPr="00692CAA" w:rsidRDefault="00EA73FA" w:rsidP="00EA73F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>Με ευθύνη των Διευθυντών των σχολικών μονάδων να ενημερωθούν με κάθε τρόπο εκπαιδευτικοί αρμοδιότητάς τους.</w:t>
      </w: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BB2B55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BB2B55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left:0;text-align:left;margin-left:244.95pt;margin-top:-7.95pt;width:246.35pt;height:81.2pt;z-index:251658752;mso-height-percent:200;mso-height-percent:200;mso-width-relative:margin;mso-height-relative:margin" stroked="f">
            <v:textbox style="mso-next-textbox:#_x0000_s1029;mso-fit-shape-to-text:t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9B64C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9B64CE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κ.α.α</w:t>
                  </w:r>
                  <w:proofErr w:type="spellEnd"/>
                  <w:r w:rsidRPr="009B64CE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.</w:t>
                  </w: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Η Αναπληρώτρια Διευθύ</w:t>
                  </w:r>
                  <w:r w:rsidRPr="009B64CE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ντρια</w:t>
                  </w: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P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P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9B64CE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Μπαλαμπανίδου</w:t>
                  </w:r>
                  <w:proofErr w:type="spellEnd"/>
                  <w:r w:rsidRPr="009B64CE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9B64CE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Ζαφείρα</w:t>
                  </w:r>
                  <w:proofErr w:type="spellEnd"/>
                </w:p>
                <w:p w:rsidR="00092F8E" w:rsidRPr="009B64CE" w:rsidRDefault="009B64CE" w:rsidP="009B64CE">
                  <w:pPr>
                    <w:jc w:val="center"/>
                    <w:rPr>
                      <w:lang w:val="el-GR"/>
                    </w:rPr>
                  </w:pPr>
                  <w:r w:rsidRPr="009B64CE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Μαθηματικός</w:t>
                  </w:r>
                </w:p>
              </w:txbxContent>
            </v:textbox>
          </v:shape>
        </w:pict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E87A25" w:rsidRDefault="00E87A2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4D0965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4D0965" w:rsidRPr="00107A54" w:rsidRDefault="004D0965" w:rsidP="004D0965">
      <w:pPr>
        <w:pStyle w:val="a4"/>
        <w:numPr>
          <w:ilvl w:val="0"/>
          <w:numId w:val="11"/>
        </w:numPr>
        <w:rPr>
          <w:rFonts w:asciiTheme="minorHAnsi" w:hAnsiTheme="minorHAnsi"/>
          <w:sz w:val="16"/>
          <w:szCs w:val="16"/>
          <w:lang w:val="el-GR"/>
        </w:rPr>
      </w:pPr>
      <w:bookmarkStart w:id="0" w:name="_GoBack"/>
      <w:bookmarkEnd w:id="0"/>
      <w:r w:rsidRPr="00107A54">
        <w:rPr>
          <w:rFonts w:asciiTheme="minorHAnsi" w:hAnsiTheme="minorHAnsi"/>
          <w:sz w:val="16"/>
          <w:szCs w:val="16"/>
          <w:lang w:val="el-GR"/>
        </w:rPr>
        <w:t>Αρχείο</w:t>
      </w: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sectPr w:rsidR="006C7C35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43E2F"/>
    <w:rsid w:val="000536E0"/>
    <w:rsid w:val="00070B7D"/>
    <w:rsid w:val="00072F77"/>
    <w:rsid w:val="00080BFD"/>
    <w:rsid w:val="00083410"/>
    <w:rsid w:val="00083558"/>
    <w:rsid w:val="00092F8E"/>
    <w:rsid w:val="000A3A93"/>
    <w:rsid w:val="000A7A18"/>
    <w:rsid w:val="000B501D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07A54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551D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C2A74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7500"/>
    <w:rsid w:val="00357F74"/>
    <w:rsid w:val="0036386F"/>
    <w:rsid w:val="00367573"/>
    <w:rsid w:val="00373F52"/>
    <w:rsid w:val="0038161B"/>
    <w:rsid w:val="003A110F"/>
    <w:rsid w:val="003A3355"/>
    <w:rsid w:val="003A48BB"/>
    <w:rsid w:val="003B600B"/>
    <w:rsid w:val="003B6B5F"/>
    <w:rsid w:val="003C08A1"/>
    <w:rsid w:val="003D19D4"/>
    <w:rsid w:val="003D2518"/>
    <w:rsid w:val="003D36A0"/>
    <w:rsid w:val="003F3E45"/>
    <w:rsid w:val="003F67D1"/>
    <w:rsid w:val="00402345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51"/>
    <w:rsid w:val="004C30D5"/>
    <w:rsid w:val="004C365D"/>
    <w:rsid w:val="004C4C8A"/>
    <w:rsid w:val="004C7714"/>
    <w:rsid w:val="004D0965"/>
    <w:rsid w:val="004E4A6E"/>
    <w:rsid w:val="00534D02"/>
    <w:rsid w:val="00554AC5"/>
    <w:rsid w:val="00564194"/>
    <w:rsid w:val="005670EF"/>
    <w:rsid w:val="00570994"/>
    <w:rsid w:val="0057585A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C7835"/>
    <w:rsid w:val="005D5004"/>
    <w:rsid w:val="005E1378"/>
    <w:rsid w:val="005E2379"/>
    <w:rsid w:val="005F4C4A"/>
    <w:rsid w:val="005F6ECB"/>
    <w:rsid w:val="0061072D"/>
    <w:rsid w:val="006121C8"/>
    <w:rsid w:val="00624527"/>
    <w:rsid w:val="006402D9"/>
    <w:rsid w:val="00641C07"/>
    <w:rsid w:val="0064250D"/>
    <w:rsid w:val="00644B30"/>
    <w:rsid w:val="00644CB2"/>
    <w:rsid w:val="00650FE1"/>
    <w:rsid w:val="0066603E"/>
    <w:rsid w:val="00672417"/>
    <w:rsid w:val="006A045B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4518"/>
    <w:rsid w:val="00812E12"/>
    <w:rsid w:val="00815244"/>
    <w:rsid w:val="00815492"/>
    <w:rsid w:val="00815530"/>
    <w:rsid w:val="00822849"/>
    <w:rsid w:val="008253D8"/>
    <w:rsid w:val="0082729F"/>
    <w:rsid w:val="008420DC"/>
    <w:rsid w:val="00844538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254DD"/>
    <w:rsid w:val="0093035B"/>
    <w:rsid w:val="00930AF3"/>
    <w:rsid w:val="00932D17"/>
    <w:rsid w:val="00935796"/>
    <w:rsid w:val="00942117"/>
    <w:rsid w:val="00945485"/>
    <w:rsid w:val="0095068B"/>
    <w:rsid w:val="009724E2"/>
    <w:rsid w:val="00982B75"/>
    <w:rsid w:val="009968E9"/>
    <w:rsid w:val="0099798D"/>
    <w:rsid w:val="009B5845"/>
    <w:rsid w:val="009B64CE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42E7F"/>
    <w:rsid w:val="00A44775"/>
    <w:rsid w:val="00A50DB2"/>
    <w:rsid w:val="00A638F0"/>
    <w:rsid w:val="00A6610D"/>
    <w:rsid w:val="00A832D3"/>
    <w:rsid w:val="00A83DF4"/>
    <w:rsid w:val="00A8421F"/>
    <w:rsid w:val="00A86134"/>
    <w:rsid w:val="00AA7826"/>
    <w:rsid w:val="00AA7D99"/>
    <w:rsid w:val="00AB062E"/>
    <w:rsid w:val="00AC2A7B"/>
    <w:rsid w:val="00AC4209"/>
    <w:rsid w:val="00AC533F"/>
    <w:rsid w:val="00AD1285"/>
    <w:rsid w:val="00AE4190"/>
    <w:rsid w:val="00AF4A22"/>
    <w:rsid w:val="00B048C1"/>
    <w:rsid w:val="00B05AE1"/>
    <w:rsid w:val="00B07210"/>
    <w:rsid w:val="00B13303"/>
    <w:rsid w:val="00B16F5E"/>
    <w:rsid w:val="00B25CB8"/>
    <w:rsid w:val="00B448BA"/>
    <w:rsid w:val="00B47589"/>
    <w:rsid w:val="00B5601C"/>
    <w:rsid w:val="00B57ACE"/>
    <w:rsid w:val="00B60345"/>
    <w:rsid w:val="00B61A0E"/>
    <w:rsid w:val="00B65767"/>
    <w:rsid w:val="00B7169F"/>
    <w:rsid w:val="00B71A47"/>
    <w:rsid w:val="00B72852"/>
    <w:rsid w:val="00B732BC"/>
    <w:rsid w:val="00B90D94"/>
    <w:rsid w:val="00BB2B55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7264"/>
    <w:rsid w:val="00C35173"/>
    <w:rsid w:val="00C358C3"/>
    <w:rsid w:val="00C35AF9"/>
    <w:rsid w:val="00C52EBE"/>
    <w:rsid w:val="00C63482"/>
    <w:rsid w:val="00C83738"/>
    <w:rsid w:val="00C9506A"/>
    <w:rsid w:val="00C959E1"/>
    <w:rsid w:val="00CA4E34"/>
    <w:rsid w:val="00CB2341"/>
    <w:rsid w:val="00CC111C"/>
    <w:rsid w:val="00CC20A8"/>
    <w:rsid w:val="00CC287D"/>
    <w:rsid w:val="00CC7556"/>
    <w:rsid w:val="00CD5CA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D594D"/>
    <w:rsid w:val="00DD5BF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4344"/>
    <w:rsid w:val="00E243FA"/>
    <w:rsid w:val="00E27F6A"/>
    <w:rsid w:val="00E3171F"/>
    <w:rsid w:val="00E34163"/>
    <w:rsid w:val="00E5688F"/>
    <w:rsid w:val="00E739C6"/>
    <w:rsid w:val="00E74706"/>
    <w:rsid w:val="00E754AE"/>
    <w:rsid w:val="00E75DAA"/>
    <w:rsid w:val="00E81ADE"/>
    <w:rsid w:val="00E84A0D"/>
    <w:rsid w:val="00E86A1F"/>
    <w:rsid w:val="00E87A25"/>
    <w:rsid w:val="00EA73FA"/>
    <w:rsid w:val="00EC09A0"/>
    <w:rsid w:val="00EC44DE"/>
    <w:rsid w:val="00EC5127"/>
    <w:rsid w:val="00EF0FB2"/>
    <w:rsid w:val="00F01E30"/>
    <w:rsid w:val="00F03C21"/>
    <w:rsid w:val="00F15E4C"/>
    <w:rsid w:val="00F24920"/>
    <w:rsid w:val="00F24A00"/>
    <w:rsid w:val="00F25D27"/>
    <w:rsid w:val="00F2757B"/>
    <w:rsid w:val="00F44DC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6A1F"/>
    <w:rsid w:val="00F914F7"/>
    <w:rsid w:val="00FB26B2"/>
    <w:rsid w:val="00FB7390"/>
    <w:rsid w:val="00FC0238"/>
    <w:rsid w:val="00FC1E14"/>
    <w:rsid w:val="00FC5A1D"/>
    <w:rsid w:val="00FC5A9C"/>
    <w:rsid w:val="00FC6D44"/>
    <w:rsid w:val="00FD2E2D"/>
    <w:rsid w:val="00FD7094"/>
    <w:rsid w:val="00FE1BB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93B1-3BD1-4FCD-B61D-A886E54F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11</cp:revision>
  <cp:lastPrinted>2015-07-22T10:35:00Z</cp:lastPrinted>
  <dcterms:created xsi:type="dcterms:W3CDTF">2015-07-19T14:14:00Z</dcterms:created>
  <dcterms:modified xsi:type="dcterms:W3CDTF">2015-07-22T10:48:00Z</dcterms:modified>
</cp:coreProperties>
</file>